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57E4" w14:textId="77777777" w:rsidR="002051D8" w:rsidRPr="00B76DC4" w:rsidRDefault="00A900E5" w:rsidP="003971F1">
      <w:pPr>
        <w:spacing w:after="0"/>
        <w:jc w:val="center"/>
        <w:rPr>
          <w:rFonts w:cstheme="minorHAnsi"/>
          <w:b/>
          <w:color w:val="000000" w:themeColor="text1"/>
          <w:sz w:val="36"/>
          <w:szCs w:val="24"/>
        </w:rPr>
      </w:pPr>
      <w:r w:rsidRPr="00B76DC4">
        <w:rPr>
          <w:rFonts w:cstheme="minorHAnsi"/>
          <w:b/>
          <w:color w:val="000000" w:themeColor="text1"/>
          <w:sz w:val="36"/>
          <w:szCs w:val="24"/>
        </w:rPr>
        <w:t xml:space="preserve"> </w:t>
      </w:r>
      <w:r w:rsidR="002051D8" w:rsidRPr="00B76DC4">
        <w:rPr>
          <w:rFonts w:cstheme="minorHAnsi"/>
          <w:b/>
          <w:color w:val="000000" w:themeColor="text1"/>
          <w:sz w:val="36"/>
          <w:szCs w:val="24"/>
        </w:rPr>
        <w:t xml:space="preserve">ETM 501 </w:t>
      </w:r>
    </w:p>
    <w:p w14:paraId="0ABEB4CD" w14:textId="77777777" w:rsidR="00411E2C" w:rsidRPr="00B76DC4" w:rsidRDefault="002051D8" w:rsidP="003971F1">
      <w:pPr>
        <w:spacing w:after="0"/>
        <w:jc w:val="center"/>
        <w:rPr>
          <w:rFonts w:cstheme="minorHAnsi"/>
          <w:b/>
          <w:color w:val="000000" w:themeColor="text1"/>
          <w:sz w:val="36"/>
          <w:szCs w:val="24"/>
        </w:rPr>
      </w:pPr>
      <w:r w:rsidRPr="00B76DC4">
        <w:rPr>
          <w:rFonts w:cstheme="minorHAnsi"/>
          <w:b/>
          <w:color w:val="000000" w:themeColor="text1"/>
          <w:sz w:val="36"/>
          <w:szCs w:val="24"/>
        </w:rPr>
        <w:t xml:space="preserve">Energy: </w:t>
      </w:r>
      <w:r w:rsidR="00B503A5" w:rsidRPr="00B76DC4">
        <w:rPr>
          <w:rFonts w:cstheme="minorHAnsi"/>
          <w:b/>
          <w:color w:val="000000" w:themeColor="text1"/>
          <w:sz w:val="36"/>
          <w:szCs w:val="24"/>
        </w:rPr>
        <w:t>Economy</w:t>
      </w:r>
      <w:r w:rsidR="00476F5E" w:rsidRPr="00B76DC4">
        <w:rPr>
          <w:rFonts w:cstheme="minorHAnsi"/>
          <w:b/>
          <w:color w:val="000000" w:themeColor="text1"/>
          <w:sz w:val="36"/>
          <w:szCs w:val="24"/>
        </w:rPr>
        <w:t xml:space="preserve"> and Politics</w:t>
      </w:r>
    </w:p>
    <w:p w14:paraId="512AD066" w14:textId="77777777" w:rsidR="00411E2C" w:rsidRPr="00B37563" w:rsidRDefault="00411E2C" w:rsidP="003971F1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14:paraId="7289AE2C" w14:textId="2DA5B83E" w:rsidR="004D4566" w:rsidRPr="00B37563" w:rsidRDefault="00152BF5" w:rsidP="003971F1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Fall 202</w:t>
      </w:r>
      <w:r w:rsidR="00A63536">
        <w:rPr>
          <w:rFonts w:cstheme="minorHAnsi"/>
          <w:b/>
          <w:sz w:val="28"/>
          <w:szCs w:val="24"/>
        </w:rPr>
        <w:t>1</w:t>
      </w:r>
      <w:r>
        <w:rPr>
          <w:rFonts w:cstheme="minorHAnsi"/>
          <w:b/>
          <w:sz w:val="28"/>
          <w:szCs w:val="24"/>
        </w:rPr>
        <w:t>-202</w:t>
      </w:r>
      <w:r w:rsidR="00A63536">
        <w:rPr>
          <w:rFonts w:cstheme="minorHAnsi"/>
          <w:b/>
          <w:sz w:val="28"/>
          <w:szCs w:val="24"/>
        </w:rPr>
        <w:t>2</w:t>
      </w:r>
    </w:p>
    <w:p w14:paraId="26EBB503" w14:textId="77777777" w:rsidR="004D4566" w:rsidRDefault="00152BF5" w:rsidP="003971F1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Course Syllabus</w:t>
      </w:r>
    </w:p>
    <w:p w14:paraId="059AC52C" w14:textId="77777777" w:rsidR="002051D8" w:rsidRDefault="002051D8" w:rsidP="003971F1">
      <w:pPr>
        <w:spacing w:after="0"/>
        <w:rPr>
          <w:rFonts w:cstheme="minorHAnsi"/>
          <w:sz w:val="24"/>
          <w:szCs w:val="24"/>
        </w:rPr>
      </w:pPr>
    </w:p>
    <w:p w14:paraId="1D8AE84D" w14:textId="77777777" w:rsidR="00E94262" w:rsidRPr="006F4A09" w:rsidRDefault="00E94262" w:rsidP="003971F1">
      <w:pPr>
        <w:spacing w:after="0"/>
        <w:rPr>
          <w:rFonts w:cstheme="minorHAnsi"/>
        </w:rPr>
      </w:pPr>
    </w:p>
    <w:p w14:paraId="74FE981A" w14:textId="77777777" w:rsidR="004D4566" w:rsidRPr="006F4A09" w:rsidRDefault="000A2946" w:rsidP="003971F1">
      <w:pPr>
        <w:spacing w:after="0"/>
        <w:rPr>
          <w:rFonts w:cstheme="minorHAnsi"/>
          <w:b/>
          <w:u w:val="single"/>
        </w:rPr>
      </w:pPr>
      <w:r w:rsidRPr="006F4A09">
        <w:rPr>
          <w:rFonts w:cstheme="minorHAnsi"/>
          <w:b/>
          <w:u w:val="single"/>
        </w:rPr>
        <w:t>Instructors</w:t>
      </w:r>
    </w:p>
    <w:p w14:paraId="2C7B3A05" w14:textId="4FED5850" w:rsidR="00BB73AA" w:rsidRPr="004D33B9" w:rsidRDefault="004D4566" w:rsidP="003971F1">
      <w:pPr>
        <w:spacing w:after="0"/>
        <w:rPr>
          <w:rFonts w:cstheme="minorHAnsi"/>
        </w:rPr>
      </w:pPr>
      <w:r w:rsidRPr="004D33B9">
        <w:rPr>
          <w:rFonts w:cstheme="minorHAnsi"/>
        </w:rPr>
        <w:t xml:space="preserve">Dr. </w:t>
      </w:r>
      <w:r w:rsidR="00072F3D" w:rsidRPr="004D33B9">
        <w:rPr>
          <w:rFonts w:cstheme="minorHAnsi"/>
        </w:rPr>
        <w:t xml:space="preserve">Murat </w:t>
      </w:r>
      <w:proofErr w:type="gramStart"/>
      <w:r w:rsidR="00072F3D" w:rsidRPr="004D33B9">
        <w:rPr>
          <w:rFonts w:cstheme="minorHAnsi"/>
        </w:rPr>
        <w:t>Kaya</w:t>
      </w:r>
      <w:r w:rsidR="00BB73AA" w:rsidRPr="004D33B9">
        <w:rPr>
          <w:rFonts w:cstheme="minorHAnsi"/>
        </w:rPr>
        <w:t>,</w:t>
      </w:r>
      <w:r w:rsidR="00072F3D" w:rsidRPr="004D33B9">
        <w:rPr>
          <w:rFonts w:cstheme="minorHAnsi"/>
        </w:rPr>
        <w:t xml:space="preserve">   </w:t>
      </w:r>
      <w:proofErr w:type="gramEnd"/>
      <w:r w:rsidR="00072F3D" w:rsidRPr="004D33B9">
        <w:rPr>
          <w:rFonts w:cstheme="minorHAnsi"/>
        </w:rPr>
        <w:t xml:space="preserve"> </w:t>
      </w:r>
      <w:r w:rsidR="00E10B86" w:rsidRPr="004D33B9">
        <w:rPr>
          <w:rFonts w:cstheme="minorHAnsi"/>
        </w:rPr>
        <w:t xml:space="preserve">Office: </w:t>
      </w:r>
      <w:r w:rsidRPr="004D33B9">
        <w:rPr>
          <w:rFonts w:cstheme="minorHAnsi"/>
        </w:rPr>
        <w:t>FENS G0</w:t>
      </w:r>
      <w:r w:rsidR="00E10B86" w:rsidRPr="004D33B9">
        <w:rPr>
          <w:rFonts w:cstheme="minorHAnsi"/>
        </w:rPr>
        <w:t xml:space="preserve">20, </w:t>
      </w:r>
      <w:r w:rsidRPr="004D33B9">
        <w:rPr>
          <w:rFonts w:cstheme="minorHAnsi"/>
        </w:rPr>
        <w:t xml:space="preserve">216-483 9622,  </w:t>
      </w:r>
      <w:hyperlink r:id="rId7" w:history="1">
        <w:r w:rsidRPr="004D33B9">
          <w:rPr>
            <w:rStyle w:val="Hyperlink"/>
            <w:rFonts w:cstheme="minorHAnsi"/>
            <w:color w:val="auto"/>
            <w:u w:val="none"/>
          </w:rPr>
          <w:t>mkaya@sabanciuniv.edu</w:t>
        </w:r>
      </w:hyperlink>
    </w:p>
    <w:p w14:paraId="0E6D9136" w14:textId="77777777" w:rsidR="009E50A8" w:rsidRPr="006F4A09" w:rsidRDefault="009E50A8" w:rsidP="003971F1">
      <w:pPr>
        <w:spacing w:after="0"/>
        <w:rPr>
          <w:rFonts w:cstheme="minorHAnsi"/>
          <w:b/>
          <w:u w:val="single"/>
        </w:rPr>
      </w:pPr>
    </w:p>
    <w:p w14:paraId="1BAA3E4F" w14:textId="77777777" w:rsidR="000A2946" w:rsidRPr="006F4A09" w:rsidRDefault="000A2946" w:rsidP="003971F1">
      <w:pPr>
        <w:spacing w:after="0"/>
        <w:rPr>
          <w:rFonts w:cstheme="minorHAnsi"/>
        </w:rPr>
      </w:pPr>
    </w:p>
    <w:p w14:paraId="6D2511AC" w14:textId="77777777" w:rsidR="000A2946" w:rsidRDefault="000A2946" w:rsidP="003971F1">
      <w:pPr>
        <w:spacing w:after="0"/>
        <w:rPr>
          <w:rFonts w:cstheme="minorHAnsi"/>
          <w:b/>
          <w:u w:val="single"/>
        </w:rPr>
      </w:pPr>
      <w:r w:rsidRPr="006F4A09">
        <w:rPr>
          <w:rFonts w:cstheme="minorHAnsi"/>
          <w:b/>
          <w:u w:val="single"/>
        </w:rPr>
        <w:t>Learning Outcomes</w:t>
      </w:r>
    </w:p>
    <w:p w14:paraId="4223DD6F" w14:textId="77777777" w:rsidR="006F4A09" w:rsidRPr="006F4A09" w:rsidRDefault="006F4A09" w:rsidP="003971F1">
      <w:pPr>
        <w:spacing w:after="0"/>
        <w:rPr>
          <w:rFonts w:cstheme="minorHAnsi"/>
        </w:rPr>
      </w:pPr>
      <w:r w:rsidRPr="006F4A09">
        <w:rPr>
          <w:rFonts w:cstheme="minorHAnsi"/>
        </w:rPr>
        <w:t>Upon successful completion of this course, students are expected to be able to:</w:t>
      </w:r>
    </w:p>
    <w:p w14:paraId="74F2BF2B" w14:textId="77777777" w:rsidR="006F4A09" w:rsidRPr="006F4A09" w:rsidRDefault="006F4A09" w:rsidP="003971F1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Calibri"/>
        </w:rPr>
      </w:pPr>
      <w:r w:rsidRPr="006F4A09">
        <w:rPr>
          <w:rFonts w:ascii="Calibri" w:eastAsia="Times New Roman" w:hAnsi="Calibri" w:cs="Calibri"/>
        </w:rPr>
        <w:t xml:space="preserve">Categorize primary energy sources along with their worldwide distribution, supply-demand </w:t>
      </w:r>
      <w:proofErr w:type="gramStart"/>
      <w:r w:rsidRPr="006F4A09">
        <w:rPr>
          <w:rFonts w:ascii="Calibri" w:eastAsia="Times New Roman" w:hAnsi="Calibri" w:cs="Calibri"/>
        </w:rPr>
        <w:t>relations</w:t>
      </w:r>
      <w:proofErr w:type="gramEnd"/>
      <w:r w:rsidRPr="006F4A09">
        <w:rPr>
          <w:rFonts w:ascii="Calibri" w:eastAsia="Times New Roman" w:hAnsi="Calibri" w:cs="Calibri"/>
        </w:rPr>
        <w:t xml:space="preserve"> and associated production technologies.</w:t>
      </w:r>
    </w:p>
    <w:p w14:paraId="1F9CB847" w14:textId="77777777" w:rsidR="006F4A09" w:rsidRPr="006F4A09" w:rsidRDefault="006F4A09" w:rsidP="003971F1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Calibri"/>
        </w:rPr>
      </w:pPr>
      <w:r w:rsidRPr="006F4A09">
        <w:rPr>
          <w:rFonts w:ascii="Calibri" w:eastAsia="Times New Roman" w:hAnsi="Calibri" w:cs="Calibri"/>
        </w:rPr>
        <w:t xml:space="preserve">Discuss the relative advantages and disadvantages (in terms of investment requirements, environmental </w:t>
      </w:r>
      <w:proofErr w:type="gramStart"/>
      <w:r w:rsidRPr="006F4A09">
        <w:rPr>
          <w:rFonts w:ascii="Calibri" w:eastAsia="Times New Roman" w:hAnsi="Calibri" w:cs="Calibri"/>
        </w:rPr>
        <w:t>impact</w:t>
      </w:r>
      <w:proofErr w:type="gramEnd"/>
      <w:r w:rsidRPr="006F4A09">
        <w:rPr>
          <w:rFonts w:ascii="Calibri" w:eastAsia="Times New Roman" w:hAnsi="Calibri" w:cs="Calibri"/>
        </w:rPr>
        <w:t xml:space="preserve"> and political risks) of using traditional fossil fuels (oil, natural gas, coal), renewable energy sources (hydro, solar, wind, biomass) and nuclear energy.</w:t>
      </w:r>
    </w:p>
    <w:p w14:paraId="5A5645BF" w14:textId="77777777" w:rsidR="006F4A09" w:rsidRPr="006F4A09" w:rsidRDefault="006F4A09" w:rsidP="003971F1">
      <w:pPr>
        <w:pStyle w:val="ListParagraph"/>
        <w:numPr>
          <w:ilvl w:val="0"/>
          <w:numId w:val="9"/>
        </w:numPr>
        <w:spacing w:after="0"/>
        <w:rPr>
          <w:rFonts w:ascii="Calibri" w:eastAsia="Times New Roman" w:hAnsi="Calibri" w:cs="Calibri"/>
        </w:rPr>
      </w:pPr>
      <w:r w:rsidRPr="006F4A09">
        <w:rPr>
          <w:rFonts w:ascii="Calibri" w:eastAsia="Times New Roman" w:hAnsi="Calibri" w:cs="Calibri"/>
        </w:rPr>
        <w:t>Explain the dynamics of energy supply chains and energy markets with particular focus on electricity as the most usable form of energy.</w:t>
      </w:r>
    </w:p>
    <w:p w14:paraId="4798CBE4" w14:textId="77777777" w:rsidR="009E50A8" w:rsidRPr="006F4A09" w:rsidRDefault="009E50A8" w:rsidP="003971F1">
      <w:pPr>
        <w:spacing w:after="0"/>
        <w:rPr>
          <w:rFonts w:cstheme="minorHAnsi"/>
          <w:b/>
          <w:u w:val="single"/>
        </w:rPr>
      </w:pPr>
    </w:p>
    <w:p w14:paraId="4BD2C431" w14:textId="77777777" w:rsidR="00E60854" w:rsidRPr="006F4A09" w:rsidRDefault="00E60854" w:rsidP="003971F1">
      <w:pPr>
        <w:spacing w:after="0"/>
        <w:rPr>
          <w:rFonts w:cstheme="minorHAnsi"/>
          <w:b/>
          <w:u w:val="single"/>
        </w:rPr>
      </w:pPr>
      <w:r w:rsidRPr="006F4A09">
        <w:rPr>
          <w:rFonts w:cstheme="minorHAnsi"/>
          <w:b/>
          <w:u w:val="single"/>
        </w:rPr>
        <w:t>Course Policies</w:t>
      </w:r>
    </w:p>
    <w:p w14:paraId="6FBD67E3" w14:textId="77777777" w:rsidR="00E60854" w:rsidRPr="006F4A09" w:rsidRDefault="00E60854" w:rsidP="003971F1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F4A09">
        <w:rPr>
          <w:rFonts w:cstheme="minorHAnsi"/>
        </w:rPr>
        <w:t xml:space="preserve">Attendance </w:t>
      </w:r>
      <w:r w:rsidR="00152BF5">
        <w:rPr>
          <w:rFonts w:cstheme="minorHAnsi"/>
        </w:rPr>
        <w:t xml:space="preserve">(physical or online) </w:t>
      </w:r>
      <w:r w:rsidRPr="006F4A09">
        <w:rPr>
          <w:rFonts w:cstheme="minorHAnsi"/>
        </w:rPr>
        <w:t>is mandatory and will be recorded.</w:t>
      </w:r>
    </w:p>
    <w:p w14:paraId="5047525F" w14:textId="77777777" w:rsidR="00E60854" w:rsidRPr="006F4A09" w:rsidRDefault="00E60854" w:rsidP="003971F1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6F4A09">
        <w:rPr>
          <w:rFonts w:cstheme="minorHAnsi"/>
        </w:rPr>
        <w:t xml:space="preserve">Partial (not full) lecture slide sets will be available at </w:t>
      </w:r>
      <w:proofErr w:type="spellStart"/>
      <w:r w:rsidRPr="006F4A09">
        <w:rPr>
          <w:rFonts w:cstheme="minorHAnsi"/>
        </w:rPr>
        <w:t>SuCourse</w:t>
      </w:r>
      <w:proofErr w:type="spellEnd"/>
      <w:r w:rsidR="00546317">
        <w:rPr>
          <w:rFonts w:cstheme="minorHAnsi"/>
        </w:rPr>
        <w:t>+</w:t>
      </w:r>
      <w:r w:rsidRPr="006F4A09">
        <w:rPr>
          <w:rFonts w:cstheme="minorHAnsi"/>
        </w:rPr>
        <w:t>.</w:t>
      </w:r>
    </w:p>
    <w:p w14:paraId="5B2FD75C" w14:textId="77777777" w:rsidR="00233F5C" w:rsidRDefault="00233F5C" w:rsidP="003971F1">
      <w:pPr>
        <w:spacing w:after="0"/>
        <w:rPr>
          <w:rFonts w:cstheme="minorHAnsi"/>
          <w:b/>
          <w:u w:val="single"/>
        </w:rPr>
      </w:pPr>
    </w:p>
    <w:p w14:paraId="5565BDE3" w14:textId="77777777" w:rsidR="00233F5C" w:rsidRDefault="00233F5C" w:rsidP="003971F1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Evaluation Policy</w:t>
      </w:r>
    </w:p>
    <w:p w14:paraId="3B3282A9" w14:textId="689F7FE0" w:rsidR="00233F5C" w:rsidRPr="00233F5C" w:rsidRDefault="00233F5C" w:rsidP="003971F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  <w:r w:rsidRPr="00233F5C">
        <w:rPr>
          <w:rFonts w:cstheme="minorHAnsi"/>
        </w:rPr>
        <w:t xml:space="preserve">Course grading will be based in-class contribution, </w:t>
      </w:r>
      <w:r w:rsidR="00A63536">
        <w:rPr>
          <w:rFonts w:cstheme="minorHAnsi"/>
        </w:rPr>
        <w:t xml:space="preserve">Top Hat questions, </w:t>
      </w:r>
      <w:proofErr w:type="gramStart"/>
      <w:r w:rsidRPr="00233F5C">
        <w:rPr>
          <w:rFonts w:cstheme="minorHAnsi"/>
        </w:rPr>
        <w:t>quiz</w:t>
      </w:r>
      <w:proofErr w:type="gramEnd"/>
      <w:r>
        <w:rPr>
          <w:rFonts w:cstheme="minorHAnsi"/>
        </w:rPr>
        <w:t xml:space="preserve"> and </w:t>
      </w:r>
      <w:r w:rsidR="00B76DC4">
        <w:rPr>
          <w:rFonts w:cstheme="minorHAnsi"/>
        </w:rPr>
        <w:t>assignment</w:t>
      </w:r>
      <w:r>
        <w:rPr>
          <w:rFonts w:cstheme="minorHAnsi"/>
        </w:rPr>
        <w:t xml:space="preserve">s. </w:t>
      </w:r>
    </w:p>
    <w:p w14:paraId="1BCB5507" w14:textId="77777777" w:rsidR="00233F5C" w:rsidRPr="00233F5C" w:rsidRDefault="00233F5C" w:rsidP="003971F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Assignments will be posted to </w:t>
      </w:r>
      <w:proofErr w:type="spellStart"/>
      <w:r>
        <w:rPr>
          <w:rFonts w:cstheme="minorHAnsi"/>
        </w:rPr>
        <w:t>SuCourse</w:t>
      </w:r>
      <w:proofErr w:type="spellEnd"/>
      <w:r w:rsidR="006C1677">
        <w:rPr>
          <w:rFonts w:cstheme="minorHAnsi"/>
        </w:rPr>
        <w:t>+</w:t>
      </w:r>
      <w:r>
        <w:rPr>
          <w:rFonts w:cstheme="minorHAnsi"/>
        </w:rPr>
        <w:t xml:space="preserve">. </w:t>
      </w:r>
    </w:p>
    <w:p w14:paraId="6289B9E5" w14:textId="77777777" w:rsidR="00233F5C" w:rsidRPr="004D33B9" w:rsidRDefault="00233F5C" w:rsidP="003971F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Grades will be announced via </w:t>
      </w:r>
      <w:proofErr w:type="spellStart"/>
      <w:r>
        <w:rPr>
          <w:rFonts w:cstheme="minorHAnsi"/>
        </w:rPr>
        <w:t>SuCourse</w:t>
      </w:r>
      <w:proofErr w:type="spellEnd"/>
      <w:r w:rsidR="006C1677">
        <w:rPr>
          <w:rFonts w:cstheme="minorHAnsi"/>
        </w:rPr>
        <w:t>+</w:t>
      </w:r>
      <w:r>
        <w:rPr>
          <w:rFonts w:cstheme="minorHAnsi"/>
        </w:rPr>
        <w:t>.</w:t>
      </w:r>
    </w:p>
    <w:p w14:paraId="59AFCDB7" w14:textId="77777777" w:rsidR="00A63536" w:rsidRDefault="00A63536" w:rsidP="003971F1">
      <w:pPr>
        <w:spacing w:after="0"/>
        <w:rPr>
          <w:rFonts w:cstheme="minorHAnsi"/>
          <w:b/>
          <w:u w:val="single"/>
        </w:rPr>
      </w:pPr>
    </w:p>
    <w:p w14:paraId="58AD638D" w14:textId="75A1C281" w:rsidR="004D4566" w:rsidRPr="006F4A09" w:rsidRDefault="00501F59" w:rsidP="003971F1">
      <w:pPr>
        <w:spacing w:after="0"/>
        <w:rPr>
          <w:rFonts w:cstheme="minorHAnsi"/>
          <w:b/>
          <w:u w:val="single"/>
        </w:rPr>
      </w:pPr>
      <w:r w:rsidRPr="006F4A09">
        <w:rPr>
          <w:rFonts w:cstheme="minorHAnsi"/>
          <w:b/>
          <w:u w:val="single"/>
        </w:rPr>
        <w:t xml:space="preserve">Course Material and </w:t>
      </w:r>
      <w:r w:rsidR="004D4566" w:rsidRPr="006F4A09">
        <w:rPr>
          <w:rFonts w:cstheme="minorHAnsi"/>
          <w:b/>
          <w:u w:val="single"/>
        </w:rPr>
        <w:t>References</w:t>
      </w:r>
    </w:p>
    <w:p w14:paraId="0ED0FE81" w14:textId="77777777" w:rsidR="00F432F2" w:rsidRPr="006F4A09" w:rsidRDefault="00F432F2" w:rsidP="003971F1">
      <w:pPr>
        <w:spacing w:after="0"/>
        <w:rPr>
          <w:rFonts w:cstheme="minorHAnsi"/>
        </w:rPr>
      </w:pPr>
      <w:r w:rsidRPr="006F4A09">
        <w:rPr>
          <w:rFonts w:cstheme="minorHAnsi"/>
        </w:rPr>
        <w:t xml:space="preserve">There is no main textbook for the course. Instead, we will use various reading material including book chapters, white </w:t>
      </w:r>
      <w:proofErr w:type="gramStart"/>
      <w:r w:rsidRPr="006F4A09">
        <w:rPr>
          <w:rFonts w:cstheme="minorHAnsi"/>
        </w:rPr>
        <w:t>papers</w:t>
      </w:r>
      <w:proofErr w:type="gramEnd"/>
      <w:r w:rsidRPr="006F4A09">
        <w:rPr>
          <w:rFonts w:cstheme="minorHAnsi"/>
        </w:rPr>
        <w:t xml:space="preserve"> and reports. Below, we list a number of </w:t>
      </w:r>
      <w:proofErr w:type="gramStart"/>
      <w:r w:rsidRPr="006F4A09">
        <w:rPr>
          <w:rFonts w:cstheme="minorHAnsi"/>
        </w:rPr>
        <w:t>sample</w:t>
      </w:r>
      <w:proofErr w:type="gramEnd"/>
      <w:r w:rsidRPr="006F4A09">
        <w:rPr>
          <w:rFonts w:cstheme="minorHAnsi"/>
        </w:rPr>
        <w:t xml:space="preserve"> reading material and resources. Additional readings will be posted at SUCourse from time to time. </w:t>
      </w:r>
    </w:p>
    <w:p w14:paraId="6A829C7E" w14:textId="77777777" w:rsidR="00913336" w:rsidRPr="00BF4BE9" w:rsidRDefault="00913336" w:rsidP="00913336">
      <w:pPr>
        <w:numPr>
          <w:ilvl w:val="0"/>
          <w:numId w:val="7"/>
        </w:numPr>
        <w:spacing w:after="0"/>
        <w:contextualSpacing/>
        <w:rPr>
          <w:rFonts w:cstheme="minorHAnsi"/>
          <w:iCs/>
        </w:rPr>
      </w:pPr>
      <w:r w:rsidRPr="00BF4BE9">
        <w:rPr>
          <w:rFonts w:cstheme="minorHAnsi"/>
          <w:iCs/>
        </w:rPr>
        <w:t>US Energy Information Administration (EIA) – Energy Explained webpage</w:t>
      </w:r>
      <w:r>
        <w:rPr>
          <w:rFonts w:cstheme="minorHAnsi"/>
          <w:iCs/>
        </w:rPr>
        <w:t xml:space="preserve">. Entry level. </w:t>
      </w:r>
    </w:p>
    <w:p w14:paraId="04D7EBED" w14:textId="1DEEFAA8" w:rsidR="00913336" w:rsidRDefault="00913336" w:rsidP="00913336">
      <w:pPr>
        <w:spacing w:after="0"/>
        <w:ind w:left="1440"/>
        <w:contextualSpacing/>
        <w:rPr>
          <w:rFonts w:cstheme="minorHAnsi"/>
        </w:rPr>
      </w:pPr>
      <w:hyperlink r:id="rId8" w:history="1">
        <w:r w:rsidRPr="00BF4BE9">
          <w:rPr>
            <w:rFonts w:cstheme="minorHAnsi"/>
            <w:color w:val="0000FF"/>
            <w:u w:val="single"/>
          </w:rPr>
          <w:t>https://www.eia.gov/energyexplained/</w:t>
        </w:r>
      </w:hyperlink>
    </w:p>
    <w:p w14:paraId="440A7793" w14:textId="77777777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 xml:space="preserve">IEA World Energy Outlook Reports </w:t>
      </w:r>
    </w:p>
    <w:p w14:paraId="56FCEACA" w14:textId="0969D6D2" w:rsidR="002161A8" w:rsidRPr="002161A8" w:rsidRDefault="002161A8" w:rsidP="002161A8">
      <w:pPr>
        <w:spacing w:after="0"/>
        <w:ind w:left="720" w:firstLine="720"/>
        <w:contextualSpacing/>
        <w:rPr>
          <w:rFonts w:cstheme="minorHAnsi"/>
        </w:rPr>
      </w:pPr>
      <w:hyperlink r:id="rId9" w:history="1">
        <w:r w:rsidRPr="00625926">
          <w:rPr>
            <w:rStyle w:val="Hyperlink"/>
          </w:rPr>
          <w:t>https://www.iea.org/topics/world-energy-outlook</w:t>
        </w:r>
      </w:hyperlink>
    </w:p>
    <w:p w14:paraId="1331A896" w14:textId="24E9EE3D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>I</w:t>
      </w:r>
      <w:r w:rsidR="002161A8">
        <w:rPr>
          <w:rFonts w:cstheme="minorHAnsi"/>
        </w:rPr>
        <w:t>nternational Energy Agency</w:t>
      </w:r>
      <w:r w:rsidRPr="00BF4BE9">
        <w:rPr>
          <w:rFonts w:cstheme="minorHAnsi"/>
        </w:rPr>
        <w:t xml:space="preserve"> </w:t>
      </w:r>
      <w:r w:rsidR="002161A8">
        <w:rPr>
          <w:rFonts w:cstheme="minorHAnsi"/>
        </w:rPr>
        <w:t>(for a wide variety of free reports)</w:t>
      </w:r>
    </w:p>
    <w:p w14:paraId="40F02BFD" w14:textId="6298C708" w:rsidR="00913336" w:rsidRPr="002161A8" w:rsidRDefault="00913336" w:rsidP="00913336">
      <w:pPr>
        <w:spacing w:after="0"/>
        <w:ind w:left="1440"/>
        <w:contextualSpacing/>
        <w:rPr>
          <w:rFonts w:cstheme="minorHAnsi"/>
        </w:rPr>
      </w:pPr>
      <w:hyperlink r:id="rId10" w:history="1">
        <w:r w:rsidRPr="00625926">
          <w:rPr>
            <w:rStyle w:val="Hyperlink"/>
            <w:rFonts w:cstheme="minorHAnsi"/>
          </w:rPr>
          <w:t>https://www.iea.org/</w:t>
        </w:r>
      </w:hyperlink>
    </w:p>
    <w:p w14:paraId="44754834" w14:textId="348F06ED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 xml:space="preserve">BP Statistical Review of World Energy Reports </w:t>
      </w:r>
    </w:p>
    <w:p w14:paraId="625FC948" w14:textId="77777777" w:rsidR="00BF4BE9" w:rsidRPr="00BF4BE9" w:rsidRDefault="00AC6D51" w:rsidP="003971F1">
      <w:pPr>
        <w:spacing w:after="0"/>
        <w:ind w:left="1440"/>
        <w:contextualSpacing/>
        <w:rPr>
          <w:rFonts w:cstheme="minorHAnsi"/>
        </w:rPr>
      </w:pPr>
      <w:hyperlink r:id="rId11" w:history="1">
        <w:r w:rsidR="00BF4BE9" w:rsidRPr="00BF4BE9">
          <w:rPr>
            <w:rFonts w:cstheme="minorHAnsi"/>
            <w:color w:val="0000FF"/>
            <w:u w:val="single"/>
          </w:rPr>
          <w:t>www.bp.com/en/global/corporate/energy-economics/statistical-review-of-world-energy.html</w:t>
        </w:r>
      </w:hyperlink>
    </w:p>
    <w:p w14:paraId="0FB9B98F" w14:textId="77777777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lastRenderedPageBreak/>
        <w:t>BP Energy Outlook</w:t>
      </w:r>
    </w:p>
    <w:p w14:paraId="631053BA" w14:textId="77777777" w:rsidR="00BF4BE9" w:rsidRPr="00BF4BE9" w:rsidRDefault="00AC6D51" w:rsidP="003971F1">
      <w:pPr>
        <w:spacing w:after="0"/>
        <w:ind w:left="1440"/>
        <w:contextualSpacing/>
        <w:rPr>
          <w:rFonts w:cstheme="minorHAnsi"/>
        </w:rPr>
      </w:pPr>
      <w:hyperlink r:id="rId12" w:history="1">
        <w:r w:rsidR="00BF4BE9" w:rsidRPr="00BF4BE9">
          <w:rPr>
            <w:rFonts w:cstheme="minorHAnsi"/>
            <w:color w:val="0000FF"/>
            <w:u w:val="single"/>
          </w:rPr>
          <w:t>www.bp.com/en/global/corporate/energy-economics/energy-outlook.html</w:t>
        </w:r>
      </w:hyperlink>
    </w:p>
    <w:p w14:paraId="2D5B895E" w14:textId="77777777" w:rsidR="00913336" w:rsidRPr="00913336" w:rsidRDefault="00913336" w:rsidP="00913336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913336">
        <w:rPr>
          <w:rFonts w:cstheme="minorHAnsi"/>
        </w:rPr>
        <w:t>The World Nuclear Industry Status Reports</w:t>
      </w:r>
    </w:p>
    <w:p w14:paraId="2BB1A627" w14:textId="77777777" w:rsidR="00913336" w:rsidRDefault="00913336" w:rsidP="00913336">
      <w:pPr>
        <w:pStyle w:val="ListParagraph"/>
        <w:spacing w:after="0"/>
        <w:ind w:left="1440"/>
        <w:rPr>
          <w:rFonts w:eastAsia="Calibri" w:cstheme="minorHAnsi"/>
          <w:color w:val="0000FF"/>
          <w:u w:val="single"/>
        </w:rPr>
      </w:pPr>
      <w:hyperlink r:id="rId13" w:history="1">
        <w:r w:rsidRPr="00625926">
          <w:rPr>
            <w:rStyle w:val="Hyperlink"/>
            <w:rFonts w:eastAsia="Calibri" w:cstheme="minorHAnsi"/>
          </w:rPr>
          <w:t>https://www.worldnuclearreport.org/-The-Annual-Reports-.html</w:t>
        </w:r>
      </w:hyperlink>
    </w:p>
    <w:p w14:paraId="593FF930" w14:textId="77777777" w:rsidR="00913336" w:rsidRPr="00913336" w:rsidRDefault="00913336" w:rsidP="00913336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913336">
        <w:rPr>
          <w:rFonts w:cstheme="minorHAnsi"/>
        </w:rPr>
        <w:t>Renewables Global Status Reports</w:t>
      </w:r>
    </w:p>
    <w:p w14:paraId="43E7C41E" w14:textId="018C6466" w:rsidR="00913336" w:rsidRPr="00913336" w:rsidRDefault="00913336" w:rsidP="00913336">
      <w:pPr>
        <w:pStyle w:val="ListParagraph"/>
        <w:spacing w:after="0"/>
        <w:ind w:left="1440"/>
        <w:rPr>
          <w:rFonts w:eastAsia="Calibri" w:cstheme="minorHAnsi"/>
          <w:color w:val="0000FF"/>
          <w:u w:val="single"/>
        </w:rPr>
      </w:pPr>
      <w:r w:rsidRPr="00913336">
        <w:rPr>
          <w:rFonts w:eastAsia="Calibri" w:cstheme="minorHAnsi"/>
          <w:color w:val="0000FF"/>
          <w:u w:val="single"/>
        </w:rPr>
        <w:t>https://www.ren21.net/reports/global-status-report/</w:t>
      </w:r>
    </w:p>
    <w:p w14:paraId="0468E9EE" w14:textId="39D262B0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>International Renewable Energy Agency</w:t>
      </w:r>
      <w:r w:rsidR="00913336">
        <w:rPr>
          <w:rFonts w:cstheme="minorHAnsi"/>
        </w:rPr>
        <w:t xml:space="preserve"> (</w:t>
      </w:r>
      <w:r w:rsidRPr="00BF4BE9">
        <w:rPr>
          <w:rFonts w:cstheme="minorHAnsi"/>
        </w:rPr>
        <w:t>IRENA</w:t>
      </w:r>
      <w:r w:rsidR="00913336">
        <w:rPr>
          <w:rFonts w:cstheme="minorHAnsi"/>
        </w:rPr>
        <w:t>) publications</w:t>
      </w:r>
    </w:p>
    <w:p w14:paraId="66457F6E" w14:textId="1CFF16DE" w:rsidR="00913336" w:rsidRPr="00913336" w:rsidRDefault="00913336" w:rsidP="00913336">
      <w:pPr>
        <w:spacing w:after="0"/>
        <w:ind w:left="1440"/>
        <w:contextualSpacing/>
        <w:rPr>
          <w:rFonts w:cstheme="minorHAnsi"/>
        </w:rPr>
      </w:pPr>
      <w:hyperlink r:id="rId14" w:history="1">
        <w:r w:rsidRPr="00625926">
          <w:rPr>
            <w:rStyle w:val="Hyperlink"/>
            <w:rFonts w:cstheme="minorHAnsi"/>
          </w:rPr>
          <w:t>https://www.irena.org/publications</w:t>
        </w:r>
      </w:hyperlink>
    </w:p>
    <w:p w14:paraId="6A1FCC6D" w14:textId="6FE98E0E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>World Energy Council publications</w:t>
      </w:r>
    </w:p>
    <w:p w14:paraId="60F26F67" w14:textId="77777777" w:rsidR="00BF4BE9" w:rsidRPr="00BF4BE9" w:rsidRDefault="00BF4BE9" w:rsidP="003971F1">
      <w:pPr>
        <w:spacing w:after="0"/>
        <w:ind w:left="1440"/>
        <w:contextualSpacing/>
        <w:rPr>
          <w:rFonts w:eastAsia="Calibri" w:cstheme="minorHAnsi"/>
          <w:color w:val="0000FF"/>
          <w:u w:val="single"/>
        </w:rPr>
      </w:pPr>
      <w:r w:rsidRPr="00BF4BE9">
        <w:rPr>
          <w:rFonts w:eastAsia="Calibri" w:cstheme="minorHAnsi"/>
          <w:color w:val="0000FF"/>
          <w:u w:val="single"/>
        </w:rPr>
        <w:t>www.worldenergy.org/publications/</w:t>
      </w:r>
    </w:p>
    <w:p w14:paraId="4FA89B48" w14:textId="77777777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>The Economist Journal:  Articles and Special Reports on Energy</w:t>
      </w:r>
    </w:p>
    <w:p w14:paraId="125A0355" w14:textId="77777777" w:rsidR="00BF4BE9" w:rsidRPr="00BF4BE9" w:rsidRDefault="00BF4BE9" w:rsidP="003971F1">
      <w:pPr>
        <w:spacing w:after="0"/>
        <w:ind w:left="1440"/>
        <w:contextualSpacing/>
        <w:rPr>
          <w:rFonts w:eastAsia="Calibri" w:cstheme="minorHAnsi"/>
          <w:color w:val="0000FF"/>
          <w:u w:val="single"/>
        </w:rPr>
      </w:pPr>
      <w:r w:rsidRPr="00BF4BE9">
        <w:rPr>
          <w:rFonts w:eastAsia="Calibri" w:cstheme="minorHAnsi"/>
          <w:color w:val="0000FF"/>
          <w:u w:val="single"/>
        </w:rPr>
        <w:t>www.economist.com/topics/energy-industry</w:t>
      </w:r>
    </w:p>
    <w:p w14:paraId="223E961E" w14:textId="77777777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 xml:space="preserve">McKinsey consulting:    </w:t>
      </w:r>
    </w:p>
    <w:p w14:paraId="5611C641" w14:textId="77777777" w:rsidR="00BF4BE9" w:rsidRPr="00BF4BE9" w:rsidRDefault="00AC6D51" w:rsidP="003971F1">
      <w:pPr>
        <w:spacing w:after="0"/>
        <w:ind w:left="1440"/>
        <w:contextualSpacing/>
        <w:rPr>
          <w:rFonts w:cstheme="minorHAnsi"/>
          <w:iCs/>
        </w:rPr>
      </w:pPr>
      <w:hyperlink r:id="rId15" w:history="1">
        <w:r w:rsidR="00BF4BE9" w:rsidRPr="00BF4BE9">
          <w:rPr>
            <w:rFonts w:eastAsia="Calibri" w:cstheme="minorHAnsi"/>
            <w:color w:val="0000FF"/>
            <w:u w:val="single"/>
          </w:rPr>
          <w:t>www.mckinsey.com/industries/electric-power-and-natural-gas/how-we-help-clients</w:t>
        </w:r>
      </w:hyperlink>
      <w:r w:rsidR="00BF4BE9" w:rsidRPr="00BF4BE9">
        <w:rPr>
          <w:rFonts w:eastAsia="Calibri" w:cstheme="minorHAnsi"/>
          <w:color w:val="0000FF"/>
          <w:u w:val="single"/>
        </w:rPr>
        <w:t xml:space="preserve"> </w:t>
      </w:r>
    </w:p>
    <w:p w14:paraId="02EF7ECA" w14:textId="77777777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  <w:iCs/>
        </w:rPr>
      </w:pPr>
      <w:r w:rsidRPr="00BF4BE9">
        <w:rPr>
          <w:rFonts w:cstheme="minorHAnsi"/>
          <w:iCs/>
        </w:rPr>
        <w:t xml:space="preserve">Deloitte consulting:    </w:t>
      </w:r>
    </w:p>
    <w:p w14:paraId="38DFB053" w14:textId="77777777" w:rsidR="00BF4BE9" w:rsidRPr="00BF4BE9" w:rsidRDefault="00BF4BE9" w:rsidP="003971F1">
      <w:pPr>
        <w:spacing w:after="0"/>
        <w:ind w:left="1440"/>
        <w:contextualSpacing/>
        <w:rPr>
          <w:rFonts w:cstheme="minorHAnsi"/>
          <w:iCs/>
        </w:rPr>
      </w:pPr>
      <w:r w:rsidRPr="00BF4BE9">
        <w:rPr>
          <w:rFonts w:eastAsia="Calibri" w:cstheme="minorHAnsi"/>
          <w:color w:val="0000FF"/>
          <w:u w:val="single"/>
        </w:rPr>
        <w:t>www2.deloitte.com/global/en/industries/energy-resources-industrials.html</w:t>
      </w:r>
    </w:p>
    <w:p w14:paraId="62998701" w14:textId="77777777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>The Oxford Institute for Energy Studies</w:t>
      </w:r>
    </w:p>
    <w:p w14:paraId="36DD2AE6" w14:textId="77777777" w:rsidR="00BF4BE9" w:rsidRPr="00BF4BE9" w:rsidRDefault="00AC6D51" w:rsidP="003971F1">
      <w:pPr>
        <w:spacing w:after="0"/>
        <w:ind w:left="1440"/>
        <w:contextualSpacing/>
        <w:rPr>
          <w:rFonts w:cstheme="minorHAnsi"/>
        </w:rPr>
      </w:pPr>
      <w:hyperlink r:id="rId16" w:history="1">
        <w:r w:rsidR="00BF4BE9" w:rsidRPr="00BF4BE9">
          <w:rPr>
            <w:rFonts w:cstheme="minorHAnsi"/>
            <w:color w:val="0000FF"/>
            <w:u w:val="single"/>
          </w:rPr>
          <w:t>www.oxfordenergy.org</w:t>
        </w:r>
      </w:hyperlink>
    </w:p>
    <w:p w14:paraId="5DC384DB" w14:textId="63497165" w:rsidR="00BF4BE9" w:rsidRPr="00BF4BE9" w:rsidRDefault="0048091D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>Wood Mackenzie</w:t>
      </w:r>
    </w:p>
    <w:p w14:paraId="5EB8D5B4" w14:textId="50E8B926" w:rsidR="0048091D" w:rsidRDefault="0048091D" w:rsidP="0048091D">
      <w:pPr>
        <w:spacing w:after="0"/>
        <w:ind w:left="1440"/>
        <w:contextualSpacing/>
        <w:rPr>
          <w:rFonts w:eastAsia="Calibri" w:cstheme="minorHAnsi"/>
          <w:color w:val="0000FF"/>
          <w:u w:val="single"/>
        </w:rPr>
      </w:pPr>
      <w:hyperlink r:id="rId17" w:history="1">
        <w:r w:rsidRPr="00625926">
          <w:rPr>
            <w:rStyle w:val="Hyperlink"/>
            <w:rFonts w:eastAsia="Calibri" w:cstheme="minorHAnsi"/>
          </w:rPr>
          <w:t>https://www.woodmac.com/our-expertise/capabilities/power-and-renewables/</w:t>
        </w:r>
      </w:hyperlink>
    </w:p>
    <w:p w14:paraId="11285C3A" w14:textId="77777777" w:rsidR="00913336" w:rsidRPr="00BF4BE9" w:rsidRDefault="00913336" w:rsidP="0091333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BF4BE9">
        <w:rPr>
          <w:rFonts w:eastAsia="Calibri" w:cstheme="minorHAnsi"/>
        </w:rPr>
        <w:t>IICEC (</w:t>
      </w:r>
      <w:proofErr w:type="spellStart"/>
      <w:r w:rsidRPr="00BF4BE9">
        <w:rPr>
          <w:rFonts w:eastAsia="Calibri" w:cstheme="minorHAnsi"/>
        </w:rPr>
        <w:t>Sabanci</w:t>
      </w:r>
      <w:proofErr w:type="spellEnd"/>
      <w:r w:rsidRPr="00BF4BE9">
        <w:rPr>
          <w:rFonts w:eastAsia="Calibri" w:cstheme="minorHAnsi"/>
        </w:rPr>
        <w:t xml:space="preserve"> University Istanbul International Center for Energy and Climate)</w:t>
      </w:r>
    </w:p>
    <w:p w14:paraId="5466D86A" w14:textId="77777777" w:rsidR="00913336" w:rsidRPr="00BF4BE9" w:rsidRDefault="00913336" w:rsidP="00913336">
      <w:pPr>
        <w:spacing w:after="0"/>
        <w:ind w:left="1440"/>
        <w:contextualSpacing/>
        <w:rPr>
          <w:rFonts w:eastAsia="Calibri" w:cstheme="minorHAnsi"/>
          <w:color w:val="0000FF"/>
          <w:u w:val="single"/>
        </w:rPr>
      </w:pPr>
      <w:r w:rsidRPr="00BF4BE9">
        <w:rPr>
          <w:rFonts w:eastAsia="Calibri" w:cstheme="minorHAnsi"/>
          <w:color w:val="0000FF"/>
          <w:u w:val="single"/>
        </w:rPr>
        <w:t>iicec.sabanciuniv.edu/</w:t>
      </w:r>
    </w:p>
    <w:p w14:paraId="08892EF5" w14:textId="77777777" w:rsidR="00913336" w:rsidRPr="00BF4BE9" w:rsidRDefault="00913336" w:rsidP="0091333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BF4BE9">
        <w:rPr>
          <w:rFonts w:eastAsia="Calibri" w:cstheme="minorHAnsi"/>
        </w:rPr>
        <w:t>Shura Energy Transition Center</w:t>
      </w:r>
    </w:p>
    <w:p w14:paraId="0B13C990" w14:textId="1CCD93A1" w:rsidR="00913336" w:rsidRPr="00913336" w:rsidRDefault="00913336" w:rsidP="00913336">
      <w:pPr>
        <w:spacing w:after="0"/>
        <w:ind w:left="720" w:firstLine="720"/>
        <w:rPr>
          <w:rFonts w:eastAsia="Arial Unicode MS" w:cstheme="minorHAnsi"/>
          <w:bCs/>
          <w:color w:val="0000FF"/>
          <w:u w:val="single"/>
        </w:rPr>
      </w:pPr>
      <w:r w:rsidRPr="00913336">
        <w:rPr>
          <w:rFonts w:eastAsia="Calibri" w:cstheme="minorHAnsi"/>
          <w:color w:val="0000FF"/>
          <w:u w:val="single"/>
        </w:rPr>
        <w:t>https://shura.org.tr/en/</w:t>
      </w:r>
    </w:p>
    <w:p w14:paraId="3E01152C" w14:textId="77777777" w:rsidR="00913336" w:rsidRPr="00BF4BE9" w:rsidRDefault="00913336" w:rsidP="00913336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 xml:space="preserve">The Quest (Book): Energy, Security, and the Remaking of the Modern World. D. </w:t>
      </w:r>
      <w:proofErr w:type="spellStart"/>
      <w:r w:rsidRPr="00BF4BE9">
        <w:rPr>
          <w:rFonts w:cstheme="minorHAnsi"/>
        </w:rPr>
        <w:t>Yergin</w:t>
      </w:r>
      <w:proofErr w:type="spellEnd"/>
      <w:r w:rsidRPr="00BF4BE9">
        <w:rPr>
          <w:rFonts w:cstheme="minorHAnsi"/>
        </w:rPr>
        <w:t xml:space="preserve">. 2012. (highly recommended. Turkish version title: </w:t>
      </w:r>
      <w:proofErr w:type="spellStart"/>
      <w:r w:rsidRPr="00BF4BE9">
        <w:rPr>
          <w:rFonts w:cstheme="minorHAnsi"/>
        </w:rPr>
        <w:t>Enerjinin</w:t>
      </w:r>
      <w:proofErr w:type="spellEnd"/>
      <w:r w:rsidRPr="00BF4BE9">
        <w:rPr>
          <w:rFonts w:cstheme="minorHAnsi"/>
        </w:rPr>
        <w:t xml:space="preserve"> </w:t>
      </w:r>
      <w:proofErr w:type="spellStart"/>
      <w:r w:rsidRPr="00BF4BE9">
        <w:rPr>
          <w:rFonts w:cstheme="minorHAnsi"/>
        </w:rPr>
        <w:t>Geleceği</w:t>
      </w:r>
      <w:proofErr w:type="spellEnd"/>
      <w:r w:rsidRPr="00BF4BE9">
        <w:rPr>
          <w:rFonts w:cstheme="minorHAnsi"/>
        </w:rPr>
        <w:t xml:space="preserve">, 2 </w:t>
      </w:r>
      <w:proofErr w:type="spellStart"/>
      <w:r w:rsidRPr="00BF4BE9">
        <w:rPr>
          <w:rFonts w:cstheme="minorHAnsi"/>
        </w:rPr>
        <w:t>cilt</w:t>
      </w:r>
      <w:proofErr w:type="spellEnd"/>
      <w:r w:rsidRPr="00BF4BE9">
        <w:rPr>
          <w:rFonts w:cstheme="minorHAnsi"/>
        </w:rPr>
        <w:t>)</w:t>
      </w:r>
    </w:p>
    <w:p w14:paraId="06B7388C" w14:textId="46B29BA4" w:rsidR="00913336" w:rsidRPr="00913336" w:rsidRDefault="00913336" w:rsidP="00913336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 xml:space="preserve">The Prize: The Epic Quest for Oil, </w:t>
      </w:r>
      <w:proofErr w:type="gramStart"/>
      <w:r w:rsidRPr="00BF4BE9">
        <w:rPr>
          <w:rFonts w:cstheme="minorHAnsi"/>
        </w:rPr>
        <w:t>Money</w:t>
      </w:r>
      <w:proofErr w:type="gramEnd"/>
      <w:r w:rsidRPr="00BF4BE9">
        <w:rPr>
          <w:rFonts w:cstheme="minorHAnsi"/>
        </w:rPr>
        <w:t xml:space="preserve"> and Power: D. </w:t>
      </w:r>
      <w:proofErr w:type="spellStart"/>
      <w:r w:rsidRPr="00BF4BE9">
        <w:rPr>
          <w:rFonts w:cstheme="minorHAnsi"/>
        </w:rPr>
        <w:t>Yergin</w:t>
      </w:r>
      <w:proofErr w:type="spellEnd"/>
      <w:r w:rsidRPr="00BF4BE9">
        <w:rPr>
          <w:rFonts w:cstheme="minorHAnsi"/>
        </w:rPr>
        <w:t xml:space="preserve">. 1990. Turkish version title: Petrol. </w:t>
      </w:r>
      <w:proofErr w:type="spellStart"/>
      <w:r w:rsidRPr="00BF4BE9">
        <w:rPr>
          <w:rFonts w:cstheme="minorHAnsi"/>
        </w:rPr>
        <w:t>Iş</w:t>
      </w:r>
      <w:proofErr w:type="spellEnd"/>
      <w:r w:rsidRPr="00BF4BE9">
        <w:rPr>
          <w:rFonts w:cstheme="minorHAnsi"/>
        </w:rPr>
        <w:t xml:space="preserve"> </w:t>
      </w:r>
      <w:proofErr w:type="spellStart"/>
      <w:r w:rsidRPr="00BF4BE9">
        <w:rPr>
          <w:rFonts w:cstheme="minorHAnsi"/>
        </w:rPr>
        <w:t>Bankası</w:t>
      </w:r>
      <w:proofErr w:type="spellEnd"/>
      <w:r w:rsidRPr="00BF4BE9">
        <w:rPr>
          <w:rFonts w:cstheme="minorHAnsi"/>
        </w:rPr>
        <w:t xml:space="preserve"> </w:t>
      </w:r>
      <w:proofErr w:type="spellStart"/>
      <w:r w:rsidRPr="00BF4BE9">
        <w:rPr>
          <w:rFonts w:cstheme="minorHAnsi"/>
        </w:rPr>
        <w:t>Yayınları</w:t>
      </w:r>
      <w:proofErr w:type="spellEnd"/>
      <w:r w:rsidRPr="00BF4BE9">
        <w:rPr>
          <w:rFonts w:cstheme="minorHAnsi"/>
        </w:rPr>
        <w:t>.</w:t>
      </w:r>
    </w:p>
    <w:p w14:paraId="41D0E1A9" w14:textId="614DF4DA" w:rsidR="00BF4BE9" w:rsidRPr="00BF4BE9" w:rsidRDefault="00BF4BE9" w:rsidP="003971F1">
      <w:pPr>
        <w:numPr>
          <w:ilvl w:val="0"/>
          <w:numId w:val="7"/>
        </w:numPr>
        <w:spacing w:after="0"/>
        <w:contextualSpacing/>
        <w:rPr>
          <w:rFonts w:cstheme="minorHAnsi"/>
        </w:rPr>
      </w:pPr>
      <w:r w:rsidRPr="00BF4BE9">
        <w:rPr>
          <w:rFonts w:cstheme="minorHAnsi"/>
        </w:rPr>
        <w:t>The Boom (Book): How Fracking Ignited the American Energy Revolution and Changed the World. Russell Gold. 2015.</w:t>
      </w:r>
    </w:p>
    <w:p w14:paraId="056DDF26" w14:textId="15A53ABE" w:rsidR="00BF4BE9" w:rsidRDefault="00BF4BE9" w:rsidP="003971F1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BF4BE9">
        <w:rPr>
          <w:rFonts w:eastAsia="Calibri" w:cstheme="minorHAnsi"/>
        </w:rPr>
        <w:t>Oil 101 (Book). Morgen Downey. 2009.</w:t>
      </w:r>
    </w:p>
    <w:p w14:paraId="7ECB47C9" w14:textId="77777777" w:rsidR="00913336" w:rsidRPr="00BF4BE9" w:rsidRDefault="00913336" w:rsidP="00913336">
      <w:pPr>
        <w:spacing w:after="0"/>
        <w:ind w:left="720"/>
        <w:contextualSpacing/>
        <w:rPr>
          <w:rFonts w:eastAsia="Calibri" w:cstheme="minorHAnsi"/>
        </w:rPr>
      </w:pPr>
    </w:p>
    <w:p w14:paraId="473EC006" w14:textId="0DF28FAD" w:rsidR="00F90386" w:rsidRDefault="001326D8" w:rsidP="00F90386">
      <w:pPr>
        <w:spacing w:after="0"/>
        <w:rPr>
          <w:b/>
        </w:rPr>
      </w:pPr>
      <w:r>
        <w:rPr>
          <w:b/>
        </w:rPr>
        <w:t>Podcasts</w:t>
      </w:r>
    </w:p>
    <w:p w14:paraId="3BF97F22" w14:textId="3AE607C3" w:rsidR="00F90386" w:rsidRPr="00AA71C9" w:rsidRDefault="00F90386" w:rsidP="00F90386">
      <w:pPr>
        <w:spacing w:after="0"/>
        <w:rPr>
          <w:rFonts w:eastAsia="Arial Unicode MS" w:cstheme="minorHAnsi"/>
          <w:bCs/>
        </w:rPr>
      </w:pPr>
      <w:r w:rsidRPr="004C4135">
        <w:rPr>
          <w:rFonts w:eastAsia="Arial Unicode MS" w:cstheme="minorHAnsi"/>
          <w:bCs/>
        </w:rPr>
        <w:t>Energy-related</w:t>
      </w:r>
      <w:r w:rsidRPr="001326D8">
        <w:rPr>
          <w:rFonts w:eastAsia="Arial Unicode MS" w:cstheme="minorHAnsi"/>
        </w:rPr>
        <w:t xml:space="preserve"> podcasts</w:t>
      </w:r>
      <w:r>
        <w:rPr>
          <w:rFonts w:eastAsia="Arial Unicode MS" w:cstheme="minorHAnsi"/>
          <w:b/>
          <w:bCs/>
        </w:rPr>
        <w:t xml:space="preserve"> </w:t>
      </w:r>
      <w:r w:rsidRPr="004C4135">
        <w:rPr>
          <w:rFonts w:eastAsia="Arial Unicode MS" w:cstheme="minorHAnsi"/>
          <w:bCs/>
        </w:rPr>
        <w:t xml:space="preserve">offer a </w:t>
      </w:r>
      <w:r>
        <w:rPr>
          <w:rFonts w:eastAsia="Arial Unicode MS" w:cstheme="minorHAnsi"/>
          <w:bCs/>
        </w:rPr>
        <w:t xml:space="preserve">fun </w:t>
      </w:r>
      <w:r w:rsidRPr="004C4135">
        <w:rPr>
          <w:rFonts w:eastAsia="Arial Unicode MS" w:cstheme="minorHAnsi"/>
          <w:bCs/>
        </w:rPr>
        <w:t>way to learn</w:t>
      </w:r>
      <w:r w:rsidR="00AA71C9">
        <w:rPr>
          <w:rFonts w:eastAsia="Arial Unicode MS" w:cstheme="minorHAnsi"/>
          <w:b/>
          <w:bCs/>
        </w:rPr>
        <w:t xml:space="preserve">. </w:t>
      </w:r>
      <w:r w:rsidR="00AA71C9" w:rsidRPr="00AA71C9">
        <w:rPr>
          <w:rFonts w:eastAsia="Arial Unicode MS" w:cstheme="minorHAnsi"/>
        </w:rPr>
        <w:t>The podcasts that I follow are:</w:t>
      </w:r>
    </w:p>
    <w:p w14:paraId="2EBA8CCE" w14:textId="7402A614" w:rsidR="00F90386" w:rsidRP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 xml:space="preserve">The Energy Transition Show with Chris </w:t>
      </w:r>
      <w:proofErr w:type="spellStart"/>
      <w:r w:rsidRPr="00F90386">
        <w:rPr>
          <w:rFonts w:eastAsia="Calibri" w:cstheme="minorHAnsi"/>
        </w:rPr>
        <w:t>Nelder</w:t>
      </w:r>
      <w:proofErr w:type="spellEnd"/>
      <w:r w:rsidRPr="00F90386">
        <w:rPr>
          <w:rFonts w:eastAsia="Calibri" w:cstheme="minorHAnsi"/>
        </w:rPr>
        <w:t xml:space="preserve"> (full episodes </w:t>
      </w:r>
      <w:r w:rsidR="00AA71C9">
        <w:rPr>
          <w:rFonts w:eastAsia="Calibri" w:cstheme="minorHAnsi"/>
        </w:rPr>
        <w:t>require</w:t>
      </w:r>
      <w:r w:rsidRPr="00F90386">
        <w:rPr>
          <w:rFonts w:eastAsia="Calibri" w:cstheme="minorHAnsi"/>
        </w:rPr>
        <w:t xml:space="preserve"> pa</w:t>
      </w:r>
      <w:r w:rsidR="00AA71C9">
        <w:rPr>
          <w:rFonts w:eastAsia="Calibri" w:cstheme="minorHAnsi"/>
        </w:rPr>
        <w:t>yment</w:t>
      </w:r>
      <w:r w:rsidRPr="00F90386">
        <w:rPr>
          <w:rFonts w:eastAsia="Calibri" w:cstheme="minorHAnsi"/>
        </w:rPr>
        <w:t>)</w:t>
      </w:r>
    </w:p>
    <w:p w14:paraId="45B878A7" w14:textId="5EAD3EB5" w:rsidR="00F90386" w:rsidRP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Redefining Energy</w:t>
      </w:r>
    </w:p>
    <w:p w14:paraId="50F972E3" w14:textId="4ACCC81D" w:rsidR="00F90386" w:rsidRP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The Energy Gang</w:t>
      </w:r>
    </w:p>
    <w:p w14:paraId="0CB94E9A" w14:textId="23900003" w:rsidR="00F90386" w:rsidRP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Columbia Energy Exchange</w:t>
      </w:r>
    </w:p>
    <w:p w14:paraId="3C091F25" w14:textId="1E7ADBE7" w:rsidR="00F90386" w:rsidRP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The Interchange</w:t>
      </w:r>
    </w:p>
    <w:p w14:paraId="44FCA6EF" w14:textId="0A0F8201" w:rsidR="00F90386" w:rsidRP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Energy Policy Now</w:t>
      </w:r>
    </w:p>
    <w:p w14:paraId="27A49544" w14:textId="77777777" w:rsid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DNV GL Talks Energy</w:t>
      </w:r>
    </w:p>
    <w:p w14:paraId="3D366360" w14:textId="0F400FA3" w:rsidR="00F90386" w:rsidRPr="00F90386" w:rsidRDefault="00F90386" w:rsidP="00F90386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Energy 360</w:t>
      </w:r>
    </w:p>
    <w:p w14:paraId="63D9CC9E" w14:textId="7BEBFA76" w:rsidR="004C4135" w:rsidRDefault="00F90386" w:rsidP="004C4135">
      <w:pPr>
        <w:numPr>
          <w:ilvl w:val="0"/>
          <w:numId w:val="7"/>
        </w:numPr>
        <w:spacing w:after="0"/>
        <w:contextualSpacing/>
        <w:rPr>
          <w:rFonts w:eastAsia="Calibri" w:cstheme="minorHAnsi"/>
        </w:rPr>
      </w:pPr>
      <w:r w:rsidRPr="00F90386">
        <w:rPr>
          <w:rFonts w:eastAsia="Calibri" w:cstheme="minorHAnsi"/>
        </w:rPr>
        <w:t>The Oxford Institute for Energy Studies</w:t>
      </w:r>
    </w:p>
    <w:p w14:paraId="292C67EC" w14:textId="616DB775" w:rsidR="00F90386" w:rsidRDefault="00AA71C9" w:rsidP="00AA71C9">
      <w:pPr>
        <w:spacing w:after="0"/>
        <w:rPr>
          <w:rStyle w:val="Hyperlink"/>
          <w:rFonts w:eastAsia="Arial Unicode MS" w:cstheme="minorHAnsi"/>
          <w:bCs/>
        </w:rPr>
      </w:pPr>
      <w:r>
        <w:t xml:space="preserve">For a long list:  </w:t>
      </w:r>
      <w:hyperlink r:id="rId18" w:history="1">
        <w:r w:rsidRPr="00625926">
          <w:rPr>
            <w:rStyle w:val="Hyperlink"/>
            <w:rFonts w:eastAsia="Arial Unicode MS" w:cstheme="minorHAnsi"/>
            <w:bCs/>
          </w:rPr>
          <w:t>https://blog.feedspot.com/energy_podcasts/</w:t>
        </w:r>
      </w:hyperlink>
    </w:p>
    <w:sectPr w:rsidR="00F90386" w:rsidSect="00E94262">
      <w:footerReference w:type="default" r:id="rId1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3B09" w14:textId="77777777" w:rsidR="00AC6D51" w:rsidRDefault="00AC6D51" w:rsidP="001D2503">
      <w:pPr>
        <w:spacing w:after="0" w:line="240" w:lineRule="auto"/>
      </w:pPr>
      <w:r>
        <w:separator/>
      </w:r>
    </w:p>
  </w:endnote>
  <w:endnote w:type="continuationSeparator" w:id="0">
    <w:p w14:paraId="31F8A5EB" w14:textId="77777777" w:rsidR="00AC6D51" w:rsidRDefault="00AC6D51" w:rsidP="001D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20391"/>
      <w:docPartObj>
        <w:docPartGallery w:val="Page Numbers (Bottom of Page)"/>
        <w:docPartUnique/>
      </w:docPartObj>
    </w:sdtPr>
    <w:sdtEndPr/>
    <w:sdtContent>
      <w:p w14:paraId="0EEEB44A" w14:textId="77777777" w:rsidR="008238CD" w:rsidRDefault="00121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87400A" w14:textId="77777777" w:rsidR="008238CD" w:rsidRDefault="0082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4C79" w14:textId="77777777" w:rsidR="00AC6D51" w:rsidRDefault="00AC6D51" w:rsidP="001D2503">
      <w:pPr>
        <w:spacing w:after="0" w:line="240" w:lineRule="auto"/>
      </w:pPr>
      <w:r>
        <w:separator/>
      </w:r>
    </w:p>
  </w:footnote>
  <w:footnote w:type="continuationSeparator" w:id="0">
    <w:p w14:paraId="0830FE6A" w14:textId="77777777" w:rsidR="00AC6D51" w:rsidRDefault="00AC6D51" w:rsidP="001D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47F"/>
    <w:multiLevelType w:val="hybridMultilevel"/>
    <w:tmpl w:val="BF0EF6C8"/>
    <w:lvl w:ilvl="0" w:tplc="EA0C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A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A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E3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2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A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F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2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3C85"/>
    <w:multiLevelType w:val="hybridMultilevel"/>
    <w:tmpl w:val="1242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44B"/>
    <w:multiLevelType w:val="hybridMultilevel"/>
    <w:tmpl w:val="4DE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ADE"/>
    <w:multiLevelType w:val="hybridMultilevel"/>
    <w:tmpl w:val="B79A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7C8"/>
    <w:multiLevelType w:val="hybridMultilevel"/>
    <w:tmpl w:val="524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49A2"/>
    <w:multiLevelType w:val="hybridMultilevel"/>
    <w:tmpl w:val="418E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96C23"/>
    <w:multiLevelType w:val="hybridMultilevel"/>
    <w:tmpl w:val="802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48CB"/>
    <w:multiLevelType w:val="hybridMultilevel"/>
    <w:tmpl w:val="A57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660CD"/>
    <w:multiLevelType w:val="hybridMultilevel"/>
    <w:tmpl w:val="DB88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95124A"/>
    <w:multiLevelType w:val="hybridMultilevel"/>
    <w:tmpl w:val="9FC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987"/>
    <w:multiLevelType w:val="hybridMultilevel"/>
    <w:tmpl w:val="7E8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E4B40"/>
    <w:multiLevelType w:val="hybridMultilevel"/>
    <w:tmpl w:val="3DB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81840"/>
    <w:multiLevelType w:val="hybridMultilevel"/>
    <w:tmpl w:val="E9E0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D602A"/>
    <w:multiLevelType w:val="hybridMultilevel"/>
    <w:tmpl w:val="F5BA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7111D"/>
    <w:multiLevelType w:val="hybridMultilevel"/>
    <w:tmpl w:val="6300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D0E"/>
    <w:multiLevelType w:val="hybridMultilevel"/>
    <w:tmpl w:val="B97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140A"/>
    <w:multiLevelType w:val="hybridMultilevel"/>
    <w:tmpl w:val="EFA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3CE"/>
    <w:multiLevelType w:val="multilevel"/>
    <w:tmpl w:val="111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F0642D"/>
    <w:multiLevelType w:val="hybridMultilevel"/>
    <w:tmpl w:val="D00A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B772F"/>
    <w:multiLevelType w:val="hybridMultilevel"/>
    <w:tmpl w:val="FC9A63FA"/>
    <w:lvl w:ilvl="0" w:tplc="0B840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6"/>
  </w:num>
  <w:num w:numId="6">
    <w:abstractNumId w:val="19"/>
  </w:num>
  <w:num w:numId="7">
    <w:abstractNumId w:val="16"/>
  </w:num>
  <w:num w:numId="8">
    <w:abstractNumId w:val="1"/>
  </w:num>
  <w:num w:numId="9">
    <w:abstractNumId w:val="18"/>
  </w:num>
  <w:num w:numId="10">
    <w:abstractNumId w:val="14"/>
  </w:num>
  <w:num w:numId="11">
    <w:abstractNumId w:val="5"/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7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E0"/>
    <w:rsid w:val="00004392"/>
    <w:rsid w:val="00042390"/>
    <w:rsid w:val="000505BE"/>
    <w:rsid w:val="00061599"/>
    <w:rsid w:val="00062ECC"/>
    <w:rsid w:val="00072F3D"/>
    <w:rsid w:val="00097110"/>
    <w:rsid w:val="000A2946"/>
    <w:rsid w:val="000B21D0"/>
    <w:rsid w:val="000C5B35"/>
    <w:rsid w:val="000E29F3"/>
    <w:rsid w:val="00121626"/>
    <w:rsid w:val="00125A5B"/>
    <w:rsid w:val="001326D8"/>
    <w:rsid w:val="00144E39"/>
    <w:rsid w:val="00152BF5"/>
    <w:rsid w:val="00154C23"/>
    <w:rsid w:val="00163F80"/>
    <w:rsid w:val="00186498"/>
    <w:rsid w:val="001C4804"/>
    <w:rsid w:val="001C64CB"/>
    <w:rsid w:val="001D2503"/>
    <w:rsid w:val="002051D8"/>
    <w:rsid w:val="00207870"/>
    <w:rsid w:val="00207906"/>
    <w:rsid w:val="002161A8"/>
    <w:rsid w:val="00220712"/>
    <w:rsid w:val="00233F5C"/>
    <w:rsid w:val="00272470"/>
    <w:rsid w:val="0027297E"/>
    <w:rsid w:val="00286B18"/>
    <w:rsid w:val="002A416B"/>
    <w:rsid w:val="002C5837"/>
    <w:rsid w:val="002F1AE1"/>
    <w:rsid w:val="002F379A"/>
    <w:rsid w:val="0031122C"/>
    <w:rsid w:val="003220B9"/>
    <w:rsid w:val="00327B6E"/>
    <w:rsid w:val="0033768B"/>
    <w:rsid w:val="003443B1"/>
    <w:rsid w:val="00350535"/>
    <w:rsid w:val="00363377"/>
    <w:rsid w:val="00373D81"/>
    <w:rsid w:val="003971F1"/>
    <w:rsid w:val="003E198C"/>
    <w:rsid w:val="00411E2C"/>
    <w:rsid w:val="00440BC0"/>
    <w:rsid w:val="00452EED"/>
    <w:rsid w:val="00464E30"/>
    <w:rsid w:val="00476F5E"/>
    <w:rsid w:val="0048091D"/>
    <w:rsid w:val="00481FBE"/>
    <w:rsid w:val="004A32FB"/>
    <w:rsid w:val="004C4135"/>
    <w:rsid w:val="004D33B9"/>
    <w:rsid w:val="004D4566"/>
    <w:rsid w:val="004F12CD"/>
    <w:rsid w:val="00501F59"/>
    <w:rsid w:val="00535D2A"/>
    <w:rsid w:val="00546317"/>
    <w:rsid w:val="00562C3C"/>
    <w:rsid w:val="00563246"/>
    <w:rsid w:val="00565310"/>
    <w:rsid w:val="00594448"/>
    <w:rsid w:val="005B7AA5"/>
    <w:rsid w:val="005F190F"/>
    <w:rsid w:val="005F412D"/>
    <w:rsid w:val="005F6EC9"/>
    <w:rsid w:val="006040BC"/>
    <w:rsid w:val="006178FE"/>
    <w:rsid w:val="00620630"/>
    <w:rsid w:val="00661F55"/>
    <w:rsid w:val="0066650E"/>
    <w:rsid w:val="00681063"/>
    <w:rsid w:val="0068550D"/>
    <w:rsid w:val="006C0E18"/>
    <w:rsid w:val="006C1677"/>
    <w:rsid w:val="006C51A9"/>
    <w:rsid w:val="006D17FD"/>
    <w:rsid w:val="006F4A09"/>
    <w:rsid w:val="007000E9"/>
    <w:rsid w:val="00705B7A"/>
    <w:rsid w:val="00720EE0"/>
    <w:rsid w:val="00747628"/>
    <w:rsid w:val="00783BCC"/>
    <w:rsid w:val="0079390C"/>
    <w:rsid w:val="007A3D61"/>
    <w:rsid w:val="007C2093"/>
    <w:rsid w:val="0080746D"/>
    <w:rsid w:val="0080784F"/>
    <w:rsid w:val="008238CD"/>
    <w:rsid w:val="00831071"/>
    <w:rsid w:val="0086481E"/>
    <w:rsid w:val="008F1361"/>
    <w:rsid w:val="00913336"/>
    <w:rsid w:val="00924FB3"/>
    <w:rsid w:val="00934480"/>
    <w:rsid w:val="00950534"/>
    <w:rsid w:val="00984621"/>
    <w:rsid w:val="009B0E5C"/>
    <w:rsid w:val="009C3593"/>
    <w:rsid w:val="009E50A8"/>
    <w:rsid w:val="00A300A2"/>
    <w:rsid w:val="00A407E5"/>
    <w:rsid w:val="00A53AFA"/>
    <w:rsid w:val="00A63536"/>
    <w:rsid w:val="00A73A7B"/>
    <w:rsid w:val="00A900E5"/>
    <w:rsid w:val="00AA71C9"/>
    <w:rsid w:val="00AB19C7"/>
    <w:rsid w:val="00AC6D51"/>
    <w:rsid w:val="00AD3AD5"/>
    <w:rsid w:val="00AE5E05"/>
    <w:rsid w:val="00B318AA"/>
    <w:rsid w:val="00B37563"/>
    <w:rsid w:val="00B503A5"/>
    <w:rsid w:val="00B56195"/>
    <w:rsid w:val="00B60148"/>
    <w:rsid w:val="00B63F33"/>
    <w:rsid w:val="00B76DC4"/>
    <w:rsid w:val="00BB0AAA"/>
    <w:rsid w:val="00BB0BBD"/>
    <w:rsid w:val="00BB73AA"/>
    <w:rsid w:val="00BE6140"/>
    <w:rsid w:val="00BF4BE9"/>
    <w:rsid w:val="00C250AF"/>
    <w:rsid w:val="00C31165"/>
    <w:rsid w:val="00C46FCE"/>
    <w:rsid w:val="00C54176"/>
    <w:rsid w:val="00C57F96"/>
    <w:rsid w:val="00CC5A91"/>
    <w:rsid w:val="00D1460B"/>
    <w:rsid w:val="00D34FBC"/>
    <w:rsid w:val="00D624B2"/>
    <w:rsid w:val="00DB66A9"/>
    <w:rsid w:val="00DE2426"/>
    <w:rsid w:val="00E10B86"/>
    <w:rsid w:val="00E24D6B"/>
    <w:rsid w:val="00E260DF"/>
    <w:rsid w:val="00E60854"/>
    <w:rsid w:val="00E65A29"/>
    <w:rsid w:val="00E85DD2"/>
    <w:rsid w:val="00E94262"/>
    <w:rsid w:val="00ED2332"/>
    <w:rsid w:val="00EE0AC5"/>
    <w:rsid w:val="00EE33C3"/>
    <w:rsid w:val="00F12786"/>
    <w:rsid w:val="00F432F2"/>
    <w:rsid w:val="00F5490E"/>
    <w:rsid w:val="00F6260B"/>
    <w:rsid w:val="00F7341D"/>
    <w:rsid w:val="00F90386"/>
    <w:rsid w:val="00F94ED2"/>
    <w:rsid w:val="00F979EA"/>
    <w:rsid w:val="00FB1209"/>
    <w:rsid w:val="00FB359B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8AAC"/>
  <w15:docId w15:val="{DD1141BB-5A90-4A1B-8DC4-508CD37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2C"/>
  </w:style>
  <w:style w:type="paragraph" w:styleId="BalloonText">
    <w:name w:val="Balloon Text"/>
    <w:basedOn w:val="Normal"/>
    <w:link w:val="BalloonTextChar"/>
    <w:uiPriority w:val="99"/>
    <w:semiHidden/>
    <w:unhideWhenUsed/>
    <w:rsid w:val="0041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5310"/>
    <w:rPr>
      <w:color w:val="0000FF"/>
      <w:u w:val="single"/>
    </w:rPr>
  </w:style>
  <w:style w:type="paragraph" w:styleId="NormalWeb">
    <w:name w:val="Normal (Web)"/>
    <w:basedOn w:val="Normal"/>
    <w:uiPriority w:val="99"/>
    <w:rsid w:val="00F432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gov/energyexplained/" TargetMode="External"/><Relationship Id="rId13" Type="http://schemas.openxmlformats.org/officeDocument/2006/relationships/hyperlink" Target="https://www.worldnuclearreport.org/-The-Annual-Reports-.html" TargetMode="External"/><Relationship Id="rId18" Type="http://schemas.openxmlformats.org/officeDocument/2006/relationships/hyperlink" Target="https://blog.feedspot.com/energy_podcas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kaya@sabanciuniv.edu" TargetMode="External"/><Relationship Id="rId12" Type="http://schemas.openxmlformats.org/officeDocument/2006/relationships/hyperlink" Target="http://www.bp.com/en/global/corporate/energy-economics/energy-outlook.html" TargetMode="External"/><Relationship Id="rId17" Type="http://schemas.openxmlformats.org/officeDocument/2006/relationships/hyperlink" Target="https://www.woodmac.com/our-expertise/capabilities/power-and-renewabl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energy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p.com/en/global/corporate/energy-economics/statistical-review-of-world-energy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kinsey.com/industries/electric-power-and-natural-gas/how-we-help-clients" TargetMode="External"/><Relationship Id="rId10" Type="http://schemas.openxmlformats.org/officeDocument/2006/relationships/hyperlink" Target="https://www.iea.or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a.org/topics/world-energy-outlook" TargetMode="External"/><Relationship Id="rId14" Type="http://schemas.openxmlformats.org/officeDocument/2006/relationships/hyperlink" Target="https://www.irena.org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Kaya</dc:creator>
  <cp:lastModifiedBy>Murat Kaya</cp:lastModifiedBy>
  <cp:revision>20</cp:revision>
  <cp:lastPrinted>2016-09-27T14:30:00Z</cp:lastPrinted>
  <dcterms:created xsi:type="dcterms:W3CDTF">2020-10-02T06:10:00Z</dcterms:created>
  <dcterms:modified xsi:type="dcterms:W3CDTF">2021-11-03T16:57:00Z</dcterms:modified>
</cp:coreProperties>
</file>